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2018/120 vom 8. Oktober 2019</w:t>
      </w:r>
    </w:p>
    <w:p>
      <w:r>
        <w:t>Sg Versicherungsgericht, 2019-10-08, DE</w:t>
      </w:r>
    </w:p>
    <w:p>
      <w:r>
        <w:rPr>
          <w:b/>
        </w:rPr>
        <w:t xml:space="preserve">Quelle: </w:t>
      </w:r>
      <w:r>
        <w:t>https://mcp.opencaselaw.ch/entscheid/sg_publikationen_IV 2018_120</w:t>
      </w:r>
    </w:p>
    <w:p>
      <w:r>
        <w:t>FR: SG_VERSICHERUNGSGERICHT IV 2018/120 du 8 octobre 2019</w:t>
      </w:r>
    </w:p>
    <w:p>
      <w:r>
        <w:t>IT: SG_VERSICHERUNGSGERICHT IV 2018/120 del 8 ottobre 2019</w:t>
      </w:r>
    </w:p>
    <w:p>
      <w:pPr>
        <w:pStyle w:val="Heading2"/>
      </w:pPr>
      <w:r>
        <w:t>Regeste</w:t>
      </w:r>
    </w:p>
    <w:p>
      <w:r>
        <w:t>Art. 28 IVG. Rentenanspruch. Bemessung der Vergleichseinkommen. Abstellen auf den Durchschnittswert der langjährig ausgeübten Tätigkeit zur repräsentativeren Bestimmung des Valideneinkommens. Tabellenlohnabzug (Entscheid des Versicherungsgerichts des Kantons St. Gallen vom 8. Oktober 2019, IV 2018/120).</w:t>
      </w:r>
    </w:p>
    <w:p>
      <w:pPr>
        <w:pStyle w:val="Heading2"/>
      </w:pPr>
      <w:r>
        <w:t>Erwägungen</w:t>
      </w:r>
    </w:p>
    <w:p>
      <w:r>
        <w:rPr>
          <w:b/>
        </w:rPr>
        <w:t>E. 4.1</w:t>
      </w:r>
    </w:p>
    <w:p>
      <w:r>
        <w:t>In teilweiser Gutheissung der Beschwerde ist die Verfügung vom 19. Februar 2018 aufzuheben. Dem Beschwerdeführer ist ab 1. Oktober 2012 eine Viertelsrente zuzusprechen. Zur Festsetzung der Rentenhöhe sowie zur Ausrichtung der geschuldeten Leistungen ist die Sache an die Beschwerdegegnerin zurückzuweisen.</w:t>
      </w:r>
    </w:p>
    <w:p>
      <w:r>
        <w:rPr>
          <w:b/>
        </w:rPr>
        <w:t>E. 4.2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etwa das Urteil des Versicherungsgerichts des Kantons St. Gallen vom 26. April 2017, IV 2015/77, E. 4.2).</w:t>
      </w:r>
    </w:p>
    <w:p>
      <w:r>
        <w:rPr>
          <w:b/>
        </w:rPr>
        <w:t>E. 4.3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reichte keine Honorarnote ein. Im hier zu beurteilenden Fall erscheint angesichts der eingeschränkten Streitfrage eine Parteientschädigung von Fr. 3'000.-- (inklusive Barauslagen und Mehrwertsteuer) als angemessen. Bei diesem Ausgang erübrigt sich die Festsetzung einer Entschädigung für die gewährte unentgeltliche Rechtsverbeiständung. Entscheid im Zirkulationsverfahren gemäss Art. 39 VRP In teilweiser Gutheissung der Beschwerde wird die Verfügung vom 19. Februar 2018 aufgehoben und dem Beschwerdeführer ab 1. Oktober 2012 eine Viertelsrente zugesprochen. Zur Festsetzung der Rentenhöhe sowie zur Ausrichtung der geschuldeten Leistungen wird die Sache an die Beschwerdegegnerin zurückgewiesen. Die Beschwerdegegnerin hat die Gerichtskosten von Fr. 600.-- zu bezahlen.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